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143000" cy="1143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mc_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Aptos" w:hAnsi="Aptos"/>
          <w:b/>
          <w:color w:val="0B2F6B"/>
          <w:sz w:val="46"/>
        </w:rPr>
        <w:t>PLAYGROUND MMC 1.0</w:t>
      </w:r>
    </w:p>
    <w:p>
      <w:pPr>
        <w:jc w:val="center"/>
      </w:pPr>
      <w:r>
        <w:rPr>
          <w:rFonts w:ascii="Aptos" w:hAnsi="Aptos"/>
          <w:b/>
          <w:color w:val="0B2F6B"/>
          <w:sz w:val="44"/>
        </w:rPr>
        <w:t>Manual Rápido de Ingreso y Primer Uso</w:t>
      </w:r>
    </w:p>
    <w:p>
      <w:pPr>
        <w:jc w:val="center"/>
      </w:pPr>
      <w:r>
        <w:rPr>
          <w:rFonts w:ascii="Aptos" w:hAnsi="Aptos"/>
          <w:b w:val="0"/>
          <w:color w:val="1467C8"/>
          <w:sz w:val="24"/>
        </w:rPr>
        <w:t>Guía de 10-15 minutos para comenzar sin perderse</w:t>
      </w:r>
    </w:p>
    <w:p>
      <w:pPr>
        <w:jc w:val="center"/>
      </w:pPr>
      <w:r>
        <w:rPr>
          <w:rFonts w:ascii="Aptos" w:hAnsi="Aptos"/>
          <w:b/>
          <w:color w:val="172033"/>
          <w:sz w:val="21"/>
        </w:rPr>
        <w:t>Para usuarios del piloto de PLAYGROUND MMC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EF4FB"/>
            <w:tcBorders>
              <w:top w:val="single" w:sz="8" w:color="BFD1E6"/>
              <w:left w:val="single" w:sz="8" w:color="BFD1E6"/>
              <w:bottom w:val="single" w:sz="8" w:color="BFD1E6"/>
              <w:right w:val="single" w:sz="8" w:color="BFD1E6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F6B"/>
                <w:sz w:val="20"/>
              </w:rPr>
              <w:t>Versión 1.0 · PILOTO</w:t>
            </w:r>
          </w:p>
          <w:p>
            <w:pPr>
              <w:jc w:val="center"/>
            </w:pPr>
            <w:r>
              <w:rPr>
                <w:rFonts w:ascii="Aptos" w:hAnsi="Aptos"/>
                <w:color w:val="657089"/>
                <w:sz w:val="18"/>
              </w:rPr>
              <w:t>3 de septiembre de 2026</w:t>
            </w:r>
          </w:p>
        </w:tc>
      </w:tr>
    </w:tbl>
    <w:p/>
    <w:p>
      <w:pPr>
        <w:jc w:val="center"/>
      </w:pPr>
      <w:r>
        <w:rPr>
          <w:rFonts w:ascii="Aptos" w:hAnsi="Aptos"/>
          <w:color w:val="657089"/>
          <w:sz w:val="18"/>
        </w:rPr>
        <w:t>Misión Médica Colombia · Centro de Articulación</w:t>
      </w:r>
    </w:p>
    <w:p>
      <w:r>
        <w:br w:type="page"/>
      </w:r>
    </w:p>
    <w:p>
      <w:pPr>
        <w:pStyle w:val="Heading1"/>
      </w:pPr>
      <w:r>
        <w:t>Contenido</w:t>
      </w:r>
    </w:p>
    <w:p>
      <w:r>
        <w:rPr>
          <w:rFonts w:ascii="Aptos" w:hAnsi="Aptos"/>
          <w:b/>
          <w:color w:val="0B2F6B"/>
          <w:sz w:val="21"/>
        </w:rPr>
        <w:t>1. Qué es PLAYGROUND MMC</w:t>
      </w:r>
    </w:p>
    <w:p>
      <w:r>
        <w:rPr>
          <w:rFonts w:ascii="Aptos" w:hAnsi="Aptos"/>
          <w:b/>
          <w:color w:val="0B2F6B"/>
          <w:sz w:val="21"/>
        </w:rPr>
        <w:t>2. Ingreso y activación de cuenta</w:t>
      </w:r>
    </w:p>
    <w:p>
      <w:r>
        <w:rPr>
          <w:rFonts w:ascii="Aptos" w:hAnsi="Aptos"/>
          <w:b/>
          <w:color w:val="0B2F6B"/>
          <w:sz w:val="21"/>
        </w:rPr>
        <w:t>3. Qué veo al entrar</w:t>
      </w:r>
    </w:p>
    <w:p>
      <w:r>
        <w:rPr>
          <w:rFonts w:ascii="Aptos" w:hAnsi="Aptos"/>
          <w:b/>
          <w:color w:val="0B2F6B"/>
          <w:sz w:val="21"/>
        </w:rPr>
        <w:t>4. Recorrido básico por PG</w:t>
      </w:r>
    </w:p>
    <w:p>
      <w:r>
        <w:rPr>
          <w:rFonts w:ascii="Aptos" w:hAnsi="Aptos"/>
          <w:b/>
          <w:color w:val="0B2F6B"/>
          <w:sz w:val="21"/>
        </w:rPr>
        <w:t>5. Cómo fluye un caso</w:t>
      </w:r>
    </w:p>
    <w:p>
      <w:r>
        <w:rPr>
          <w:rFonts w:ascii="Aptos" w:hAnsi="Aptos"/>
          <w:b/>
          <w:color w:val="0B2F6B"/>
          <w:sz w:val="21"/>
        </w:rPr>
        <w:t>6. S.O.F.I.A. y Memoria Institucional</w:t>
      </w:r>
    </w:p>
    <w:p>
      <w:r>
        <w:rPr>
          <w:rFonts w:ascii="Aptos" w:hAnsi="Aptos"/>
          <w:b/>
          <w:color w:val="0B2F6B"/>
          <w:sz w:val="21"/>
        </w:rPr>
        <w:t>7. Seguridad y recuperación de acceso</w:t>
      </w:r>
    </w:p>
    <w:p>
      <w:r>
        <w:rPr>
          <w:rFonts w:ascii="Aptos" w:hAnsi="Aptos"/>
          <w:b/>
          <w:color w:val="0B2F6B"/>
          <w:sz w:val="21"/>
        </w:rPr>
        <w:t>8. Ejercicio inicial de 15 minutos</w:t>
      </w:r>
    </w:p>
    <w:p>
      <w:r>
        <w:rPr>
          <w:rFonts w:ascii="Aptos" w:hAnsi="Aptos"/>
          <w:b/>
          <w:color w:val="0B2F6B"/>
          <w:sz w:val="21"/>
        </w:rPr>
        <w:t>9. Limitaciones conocidas del piloto RC4</w:t>
      </w:r>
    </w:p>
    <w:p/>
    <w:p>
      <w:pPr>
        <w:pStyle w:val="Heading1"/>
      </w:pPr>
      <w:r>
        <w:t>1. Qué es PLAYGROUND MMC</w:t>
      </w:r>
    </w:p>
    <w:p>
      <w:r>
        <w:t>PLAYGROUND MMC es el ecosistema digital de Misión Médica Colombia para organizar y articular necesidades, recursos, voluntarios, donantes, aliados, logística y acciones de respuesta con responsables, estados y trazabilidad.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EF4FB"/>
            <w:tcBorders>
              <w:top w:val="single" w:sz="7" w:color="C5D6EA"/>
              <w:left w:val="single" w:sz="7" w:color="C5D6EA"/>
              <w:bottom w:val="single" w:sz="7" w:color="C5D6EA"/>
              <w:right w:val="single" w:sz="7" w:color="C5D6EA"/>
            </w:tcBorders>
          </w:tcPr>
          <w:p>
            <w:r>
              <w:rPr>
                <w:rFonts w:ascii="Aptos" w:hAnsi="Aptos"/>
                <w:b/>
                <w:color w:val="0B2F6B"/>
                <w:sz w:val="20"/>
              </w:rPr>
              <w:t xml:space="preserve">Principio MMC: </w:t>
            </w:r>
            <w:r>
              <w:rPr>
                <w:rFonts w:ascii="Aptos" w:hAnsi="Aptos"/>
                <w:color w:val="172033"/>
                <w:sz w:val="20"/>
              </w:rPr>
              <w:t>NO RECIBIMOS LO QUE APAREZCA. ARTICULAMOS LO QUE SE NECESITA.</w:t>
            </w:r>
          </w:p>
        </w:tc>
      </w:tr>
    </w:tbl>
    <w:p>
      <w:pPr>
        <w:jc w:val="center"/>
      </w:pPr>
      <w:r>
        <w:t>La lógica central del sistema es:</w:t>
      </w:r>
      <w:r>
        <w:rPr>
          <w:rFonts w:ascii="Aptos" w:hAnsi="Aptos"/>
          <w:b/>
          <w:color w:val="0B2F6B"/>
          <w:sz w:val="22"/>
        </w:rPr>
        <w:t>NECESIDAD → OFERTA → CRUCE → ARTICULACIÓN → RESPONSABLE → SEGUIMIENTO → CIERRE → MEMORIA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EF4FB"/>
            <w:tcBorders>
              <w:top w:val="single" w:sz="7" w:color="C5D6EA"/>
              <w:left w:val="single" w:sz="7" w:color="C5D6EA"/>
              <w:bottom w:val="single" w:sz="7" w:color="C5D6EA"/>
              <w:right w:val="single" w:sz="7" w:color="C5D6EA"/>
            </w:tcBorders>
          </w:tcPr>
          <w:p>
            <w:r>
              <w:rPr>
                <w:rFonts w:ascii="Aptos" w:hAnsi="Aptos"/>
                <w:b/>
                <w:color w:val="0B2F6B"/>
                <w:sz w:val="20"/>
              </w:rPr>
              <w:t xml:space="preserve">Regla de operación: </w:t>
            </w:r>
            <w:r>
              <w:rPr>
                <w:rFonts w:ascii="Aptos" w:hAnsi="Aptos"/>
                <w:color w:val="172033"/>
                <w:sz w:val="20"/>
              </w:rPr>
              <w:t>Nada urgente sin responsable. Nada resuelto sin cierre. Nada importante fuera de memoria. Nada sensible sin permiso.</w:t>
            </w:r>
          </w:p>
        </w:tc>
      </w:tr>
    </w:tbl>
    <w:p>
      <w:pPr>
        <w:pStyle w:val="Heading1"/>
      </w:pPr>
      <w:r>
        <w:t>2. Ingreso y activación de cuenta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1. </w:t>
      </w:r>
      <w:r>
        <w:rPr>
          <w:rFonts w:ascii="Aptos" w:hAnsi="Aptos"/>
          <w:color w:val="172033"/>
          <w:sz w:val="21"/>
        </w:rPr>
        <w:t>Abrir el correo oficial de invitación enviado por Misión Médica Colombia - PLAYGROUND MMC.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2. </w:t>
      </w:r>
      <w:r>
        <w:rPr>
          <w:rFonts w:ascii="Aptos" w:hAnsi="Aptos"/>
          <w:color w:val="172033"/>
          <w:sz w:val="21"/>
        </w:rPr>
        <w:t>Pulsar “ACTIVAR MI ACCESO A PLAYGROUND MMC”.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3. </w:t>
      </w:r>
      <w:r>
        <w:rPr>
          <w:rFonts w:ascii="Aptos" w:hAnsi="Aptos"/>
          <w:color w:val="172033"/>
          <w:sz w:val="21"/>
        </w:rPr>
        <w:t>El enlace confirma la invitación y conduce al entorno de PLAYGROUND MMC.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4. </w:t>
      </w:r>
      <w:r>
        <w:rPr>
          <w:rFonts w:ascii="Aptos" w:hAnsi="Aptos"/>
          <w:color w:val="172033"/>
          <w:sz w:val="21"/>
        </w:rPr>
        <w:t>Si aún no tienes una contraseña válida, utiliza “¿Olvidaste tu contraseña?” para recibir el enlace seguro y crear una nueva.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5. </w:t>
      </w:r>
      <w:r>
        <w:rPr>
          <w:rFonts w:ascii="Aptos" w:hAnsi="Aptos"/>
          <w:color w:val="172033"/>
          <w:sz w:val="21"/>
        </w:rPr>
        <w:t>Ingresar siempre con el correo autorizado para tu usuario.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4E6"/>
            <w:tcBorders>
              <w:top w:val="single" w:sz="7" w:color="C5D6EA"/>
              <w:left w:val="single" w:sz="7" w:color="C5D6EA"/>
              <w:bottom w:val="single" w:sz="7" w:color="C5D6EA"/>
              <w:right w:val="single" w:sz="7" w:color="C5D6EA"/>
            </w:tcBorders>
          </w:tcPr>
          <w:p>
            <w:r>
              <w:rPr>
                <w:rFonts w:ascii="Aptos" w:hAnsi="Aptos"/>
                <w:b/>
                <w:color w:val="0B2F6B"/>
                <w:sz w:val="20"/>
              </w:rPr>
              <w:t xml:space="preserve">Seguridad: </w:t>
            </w:r>
            <w:r>
              <w:rPr>
                <w:rFonts w:ascii="Aptos" w:hAnsi="Aptos"/>
                <w:color w:val="172033"/>
                <w:sz w:val="20"/>
              </w:rPr>
              <w:t>La cuenta es personal. No compartas contraseñas ni enlaces de recuperación. Si recibes un correo inesperado de cambio de contraseña, no lo uses y avisa al administrador.</w:t>
            </w:r>
          </w:p>
        </w:tc>
      </w:tr>
    </w:tbl>
    <w:p>
      <w:pPr>
        <w:pStyle w:val="Heading1"/>
      </w:pPr>
      <w:r>
        <w:t>3. Qué veo al entrar</w:t>
      </w:r>
    </w:p>
    <w:p>
      <w:r>
        <w:t>PG reconoce quién eres, tu rol, tus permisos y el alcance de tu microecosistema. Por eso distintos usuarios pueden ver funciones diferentes.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3360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Ejemplo</w:t>
            </w:r>
          </w:p>
        </w:tc>
        <w:tc>
          <w:tcPr>
            <w:tcW w:type="dxa" w:w="3360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Alcance</w:t>
            </w:r>
          </w:p>
        </w:tc>
      </w:tr>
      <w:tr>
        <w:tc>
          <w:tcPr>
            <w:tcW w:type="dxa" w:w="336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CREADOR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Dr. Eugenio Cabrera, MD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Gobierno del sistema, Bitácora y administración maestra.</w:t>
            </w:r>
          </w:p>
        </w:tc>
      </w:tr>
      <w:tr>
        <w:tc>
          <w:tcPr>
            <w:tcW w:type="dxa" w:w="336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Administrador operativo</w:t>
            </w:r>
          </w:p>
        </w:tc>
        <w:tc>
          <w:tcPr>
            <w:tcW w:type="dxa" w:w="336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Katherine / Diana</w:t>
            </w:r>
          </w:p>
        </w:tc>
        <w:tc>
          <w:tcPr>
            <w:tcW w:type="dxa" w:w="336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Acceso amplio a la operación de PG, sin propiedad de CREADOR.</w:t>
            </w:r>
          </w:p>
        </w:tc>
      </w:tr>
      <w:tr>
        <w:tc>
          <w:tcPr>
            <w:tcW w:type="dxa" w:w="336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Coordinador / territorial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Fases posteriores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Acceso según permisos y microecosistema asignados.</w:t>
            </w:r>
          </w:p>
        </w:tc>
      </w:tr>
      <w:tr>
        <w:tc>
          <w:tcPr>
            <w:tcW w:type="dxa" w:w="336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Usuario / colaborador</w:t>
            </w:r>
          </w:p>
        </w:tc>
        <w:tc>
          <w:tcPr>
            <w:tcW w:type="dxa" w:w="336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Fases posteriores</w:t>
            </w:r>
          </w:p>
        </w:tc>
        <w:tc>
          <w:tcPr>
            <w:tcW w:type="dxa" w:w="336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Acceso únicamente a funciones autorizadas.</w:t>
            </w:r>
          </w:p>
        </w:tc>
      </w:tr>
    </w:tbl>
    <w:p/>
    <w:p>
      <w:pPr>
        <w:pStyle w:val="Heading1"/>
      </w:pPr>
      <w:r>
        <w:t>4. Recorrido básico por PG</w:t>
      </w:r>
    </w:p>
    <w:p>
      <w:pPr>
        <w:pStyle w:val="ListBullet"/>
        <w:spacing w:after="40"/>
      </w:pPr>
      <w:r>
        <w:rPr>
          <w:rFonts w:ascii="Aptos" w:hAnsi="Aptos"/>
          <w:b/>
          <w:color w:val="172033"/>
          <w:sz w:val="21"/>
        </w:rPr>
        <w:t xml:space="preserve">Inicio / Panel: </w:t>
      </w:r>
      <w:r>
        <w:rPr>
          <w:rFonts w:ascii="Aptos" w:hAnsi="Aptos"/>
          <w:color w:val="172033"/>
          <w:sz w:val="21"/>
        </w:rPr>
        <w:t>visión general del ecosistema, indicadores y accesos principales.</w:t>
      </w:r>
    </w:p>
    <w:p>
      <w:pPr>
        <w:pStyle w:val="ListBullet"/>
        <w:spacing w:after="40"/>
      </w:pPr>
      <w:r>
        <w:rPr>
          <w:rFonts w:ascii="Aptos" w:hAnsi="Aptos"/>
          <w:b/>
          <w:color w:val="172033"/>
          <w:sz w:val="21"/>
        </w:rPr>
        <w:t xml:space="preserve">Casos: </w:t>
      </w:r>
      <w:r>
        <w:rPr>
          <w:rFonts w:ascii="Aptos" w:hAnsi="Aptos"/>
          <w:color w:val="172033"/>
          <w:sz w:val="21"/>
        </w:rPr>
        <w:t>necesidades o situaciones registradas que requieren articulación.</w:t>
      </w:r>
    </w:p>
    <w:p>
      <w:pPr>
        <w:pStyle w:val="ListBullet"/>
        <w:spacing w:after="40"/>
      </w:pPr>
      <w:r>
        <w:rPr>
          <w:rFonts w:ascii="Aptos" w:hAnsi="Aptos"/>
          <w:b/>
          <w:color w:val="172033"/>
          <w:sz w:val="21"/>
        </w:rPr>
        <w:t xml:space="preserve">Oferentes / Donantes: </w:t>
      </w:r>
      <w:r>
        <w:rPr>
          <w:rFonts w:ascii="Aptos" w:hAnsi="Aptos"/>
          <w:color w:val="172033"/>
          <w:sz w:val="21"/>
        </w:rPr>
        <w:t>recursos, insumos, equipos o capacidades disponibles.</w:t>
      </w:r>
    </w:p>
    <w:p>
      <w:pPr>
        <w:pStyle w:val="ListBullet"/>
        <w:spacing w:after="40"/>
      </w:pPr>
      <w:r>
        <w:rPr>
          <w:rFonts w:ascii="Aptos" w:hAnsi="Aptos"/>
          <w:b/>
          <w:color w:val="172033"/>
          <w:sz w:val="21"/>
        </w:rPr>
        <w:t xml:space="preserve">Cruce Necesidad ↔ Oferta: </w:t>
      </w:r>
      <w:r>
        <w:rPr>
          <w:rFonts w:ascii="Aptos" w:hAnsi="Aptos"/>
          <w:color w:val="172033"/>
          <w:sz w:val="21"/>
        </w:rPr>
        <w:t>espacio para relacionar una necesidad con una oferta compatible.</w:t>
      </w:r>
    </w:p>
    <w:p>
      <w:pPr>
        <w:pStyle w:val="ListBullet"/>
        <w:spacing w:after="40"/>
      </w:pPr>
      <w:r>
        <w:rPr>
          <w:rFonts w:ascii="Aptos" w:hAnsi="Aptos"/>
          <w:b/>
          <w:color w:val="172033"/>
          <w:sz w:val="21"/>
        </w:rPr>
        <w:t xml:space="preserve">Flujo de un caso: </w:t>
      </w:r>
      <w:r>
        <w:rPr>
          <w:rFonts w:ascii="Aptos" w:hAnsi="Aptos"/>
          <w:color w:val="172033"/>
          <w:sz w:val="21"/>
        </w:rPr>
        <w:t>seguimiento del estado de la articulación, responsable, eventos y cierre.</w:t>
      </w:r>
    </w:p>
    <w:p>
      <w:pPr>
        <w:pStyle w:val="ListBullet"/>
        <w:spacing w:after="40"/>
      </w:pPr>
      <w:r>
        <w:rPr>
          <w:rFonts w:ascii="Aptos" w:hAnsi="Aptos"/>
          <w:b/>
          <w:color w:val="172033"/>
          <w:sz w:val="21"/>
        </w:rPr>
        <w:t xml:space="preserve">Voluntariado, Medicamentos, Insumos, Equipos, Logística, Comunicaciones, Redes y Aliados: </w:t>
      </w:r>
      <w:r>
        <w:rPr>
          <w:rFonts w:ascii="Aptos" w:hAnsi="Aptos"/>
          <w:color w:val="172033"/>
          <w:sz w:val="21"/>
        </w:rPr>
        <w:t>módulos operativos por área.</w:t>
      </w:r>
    </w:p>
    <w:p>
      <w:pPr>
        <w:pStyle w:val="ListBullet"/>
        <w:spacing w:after="40"/>
      </w:pPr>
      <w:r>
        <w:rPr>
          <w:rFonts w:ascii="Aptos" w:hAnsi="Aptos"/>
          <w:b/>
          <w:color w:val="172033"/>
          <w:sz w:val="21"/>
        </w:rPr>
        <w:t xml:space="preserve">Centro de Administración: </w:t>
      </w:r>
      <w:r>
        <w:rPr>
          <w:rFonts w:ascii="Aptos" w:hAnsi="Aptos"/>
          <w:color w:val="172033"/>
          <w:sz w:val="21"/>
        </w:rPr>
        <w:t>gestión de usuarios y permisos para perfiles autorizados.</w:t>
      </w:r>
    </w:p>
    <w:p>
      <w:pPr>
        <w:pStyle w:val="ListBullet"/>
        <w:spacing w:after="40"/>
      </w:pPr>
      <w:r>
        <w:rPr>
          <w:rFonts w:ascii="Aptos" w:hAnsi="Aptos"/>
          <w:b/>
          <w:color w:val="172033"/>
          <w:sz w:val="21"/>
        </w:rPr>
        <w:t xml:space="preserve">S.O.F.I.A.: </w:t>
      </w:r>
      <w:r>
        <w:rPr>
          <w:rFonts w:ascii="Aptos" w:hAnsi="Aptos"/>
          <w:color w:val="172033"/>
          <w:sz w:val="21"/>
        </w:rPr>
        <w:t>asistente inteligente para analizar, cruzar, priorizar y consultar contexto institucional.</w:t>
      </w:r>
    </w:p>
    <w:p>
      <w:pPr>
        <w:pStyle w:val="Heading1"/>
      </w:pPr>
      <w:r>
        <w:t>5. Cómo fluye un caso</w:t>
      </w:r>
    </w:p>
    <w:p>
      <w:r>
        <w:t>Ejemplo simple: un hospital reporta necesidad de 200 kits médicos y un aliado ofrece 200 kits compatibles.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1. </w:t>
      </w:r>
      <w:r>
        <w:rPr>
          <w:rFonts w:ascii="Aptos" w:hAnsi="Aptos"/>
          <w:color w:val="172033"/>
          <w:sz w:val="21"/>
        </w:rPr>
        <w:t>Registrar o identificar el caso / necesidad.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2. </w:t>
      </w:r>
      <w:r>
        <w:rPr>
          <w:rFonts w:ascii="Aptos" w:hAnsi="Aptos"/>
          <w:color w:val="172033"/>
          <w:sz w:val="21"/>
        </w:rPr>
        <w:t>Registrar o identificar la oferta disponible.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3. </w:t>
      </w:r>
      <w:r>
        <w:rPr>
          <w:rFonts w:ascii="Aptos" w:hAnsi="Aptos"/>
          <w:color w:val="172033"/>
          <w:sz w:val="21"/>
        </w:rPr>
        <w:t>Revisar el cruce entre necesidad y oferta.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4. </w:t>
      </w:r>
      <w:r>
        <w:rPr>
          <w:rFonts w:ascii="Aptos" w:hAnsi="Aptos"/>
          <w:color w:val="172033"/>
          <w:sz w:val="21"/>
        </w:rPr>
        <w:t>Formalizar la articulación.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5. </w:t>
      </w:r>
      <w:r>
        <w:rPr>
          <w:rFonts w:ascii="Aptos" w:hAnsi="Aptos"/>
          <w:color w:val="172033"/>
          <w:sz w:val="21"/>
        </w:rPr>
        <w:t>Asignar responsable.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6. </w:t>
      </w:r>
      <w:r>
        <w:rPr>
          <w:rFonts w:ascii="Aptos" w:hAnsi="Aptos"/>
          <w:color w:val="172033"/>
          <w:sz w:val="21"/>
        </w:rPr>
        <w:t>Actualizar el estado conforme avanza la gestión.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7. </w:t>
      </w:r>
      <w:r>
        <w:rPr>
          <w:rFonts w:ascii="Aptos" w:hAnsi="Aptos"/>
          <w:color w:val="172033"/>
          <w:sz w:val="21"/>
        </w:rPr>
        <w:t>Registrar eventos relevantes y evidencias.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8. </w:t>
      </w:r>
      <w:r>
        <w:rPr>
          <w:rFonts w:ascii="Aptos" w:hAnsi="Aptos"/>
          <w:color w:val="172033"/>
          <w:sz w:val="21"/>
        </w:rPr>
        <w:t>Cerrar únicamente cuando exista un resultado verificable.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9. </w:t>
      </w:r>
      <w:r>
        <w:rPr>
          <w:rFonts w:ascii="Aptos" w:hAnsi="Aptos"/>
          <w:color w:val="172033"/>
          <w:sz w:val="21"/>
        </w:rPr>
        <w:t>Conservar el aprendizaje en la Memoria Institucional.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EF4FB"/>
            <w:tcBorders>
              <w:top w:val="single" w:sz="7" w:color="C5D6EA"/>
              <w:left w:val="single" w:sz="7" w:color="C5D6EA"/>
              <w:bottom w:val="single" w:sz="7" w:color="C5D6EA"/>
              <w:right w:val="single" w:sz="7" w:color="C5D6EA"/>
            </w:tcBorders>
          </w:tcPr>
          <w:p>
            <w:r>
              <w:rPr>
                <w:rFonts w:ascii="Aptos" w:hAnsi="Aptos"/>
                <w:b/>
                <w:color w:val="0B2F6B"/>
                <w:sz w:val="20"/>
              </w:rPr>
              <w:t xml:space="preserve">Cierre correcto: </w:t>
            </w:r>
            <w:r>
              <w:rPr>
                <w:rFonts w:ascii="Aptos" w:hAnsi="Aptos"/>
                <w:color w:val="172033"/>
                <w:sz w:val="20"/>
              </w:rPr>
              <w:t>Un cierre no es “quitar el caso de la pantalla”. Debe dejar resultado, observación, responsable, usuario y fecha.</w:t>
            </w:r>
          </w:p>
        </w:tc>
      </w:tr>
    </w:tbl>
    <w:p>
      <w:pPr>
        <w:pStyle w:val="Heading1"/>
      </w:pPr>
      <w:r>
        <w:t>6. S.O.F.I.A. y Memoria Institucional</w:t>
      </w:r>
    </w:p>
    <w:p>
      <w:r>
        <w:t>S.O.F.I.A. apoya al equipo para detectar prioridades, relacionar necesidades y ofertas, encontrar pendientes y utilizar la Memoria Institucional. Ayuda a decidir; no reemplaza la decisión humana ni la responsabilidad del equipo.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Pregunta por casos críticos o urgentes.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Pide cruces posibles entre necesidades y ofertas.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Consulta pendientes por responsable, ciudad, área o estado.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Solicita un resumen ejecutivo del ecosistema.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Antes de actuar, verifica que la información provenga de módulos centrales y esté actualizada.</w:t>
      </w:r>
    </w:p>
    <w:p>
      <w:pPr>
        <w:pStyle w:val="Heading1"/>
      </w:pPr>
      <w:r>
        <w:t>7. Seguridad y recuperación de acceso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Usa únicamente tu cuenta y correo autorizados.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No compartas contraseña.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Para recuperar acceso usa “¿Olvidaste tu contraseña?”.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No modifiques permisos de otros usuarios sin autorización operativa.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No copies claves privadas, secretos o credenciales dentro del chat, casos o documentos de PG.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Si detectas un acceso incorrecto, informa al CREADOR o al administrador nacional.</w:t>
      </w:r>
    </w:p>
    <w:p>
      <w:pPr>
        <w:pStyle w:val="Heading1"/>
      </w:pPr>
      <w:r>
        <w:t>8. Ejercicio inicial de 15 minutos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1. </w:t>
      </w:r>
      <w:r>
        <w:rPr>
          <w:rFonts w:ascii="Aptos" w:hAnsi="Aptos"/>
          <w:color w:val="172033"/>
          <w:sz w:val="21"/>
        </w:rPr>
        <w:t>Ingresar y comprobar que tu nombre y rol sean correctos.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2. </w:t>
      </w:r>
      <w:r>
        <w:rPr>
          <w:rFonts w:ascii="Aptos" w:hAnsi="Aptos"/>
          <w:color w:val="172033"/>
          <w:sz w:val="21"/>
        </w:rPr>
        <w:t>Recorrer Inicio, Casos y Oferentes / Donantes.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3. </w:t>
      </w:r>
      <w:r>
        <w:rPr>
          <w:rFonts w:ascii="Aptos" w:hAnsi="Aptos"/>
          <w:color w:val="172033"/>
          <w:sz w:val="21"/>
        </w:rPr>
        <w:t>Abrir Cruce Necesidad ↔ Oferta y observar cómo se relacionan registros.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4. </w:t>
      </w:r>
      <w:r>
        <w:rPr>
          <w:rFonts w:ascii="Aptos" w:hAnsi="Aptos"/>
          <w:color w:val="172033"/>
          <w:sz w:val="21"/>
        </w:rPr>
        <w:t>Entrar a Flujo de un caso y revisar responsable, estado y eventos.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5. </w:t>
      </w:r>
      <w:r>
        <w:rPr>
          <w:rFonts w:ascii="Aptos" w:hAnsi="Aptos"/>
          <w:color w:val="172033"/>
          <w:sz w:val="21"/>
        </w:rPr>
        <w:t>Abrir S.O.F.I.A. y pedir un resumen de lo visible.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6. </w:t>
      </w:r>
      <w:r>
        <w:rPr>
          <w:rFonts w:ascii="Aptos" w:hAnsi="Aptos"/>
          <w:color w:val="172033"/>
          <w:sz w:val="21"/>
        </w:rPr>
        <w:t>Cerrar sesión y volver a ingresar para verificar que el acceso funciona.</w:t>
      </w:r>
    </w:p>
    <w:p>
      <w:pPr>
        <w:pStyle w:val="Heading1"/>
      </w:pPr>
      <w:r>
        <w:t>9. Limitaciones conocidas del piloto RC4</w:t>
      </w:r>
    </w:p>
    <w:p>
      <w:pPr>
        <w:pStyle w:val="ListBullet"/>
        <w:spacing w:after="40"/>
      </w:pPr>
      <w:r>
        <w:rPr>
          <w:rFonts w:ascii="Aptos" w:hAnsi="Aptos"/>
          <w:b/>
          <w:color w:val="172033"/>
          <w:sz w:val="21"/>
        </w:rPr>
        <w:t xml:space="preserve">S.O.F.I.A. avanzada: </w:t>
      </w:r>
      <w:r>
        <w:rPr>
          <w:rFonts w:ascii="Aptos" w:hAnsi="Aptos"/>
          <w:color w:val="172033"/>
          <w:sz w:val="21"/>
        </w:rPr>
        <w:t>la conexión al Bridge de IA puede depender del equipo donde esté operativo. Si aparece “modo local”, PG puede seguir funcionando, pero no asumas que la IA externa está conectada.</w:t>
      </w:r>
    </w:p>
    <w:p>
      <w:pPr>
        <w:pStyle w:val="ListBullet"/>
        <w:spacing w:after="40"/>
      </w:pPr>
      <w:r>
        <w:rPr>
          <w:rFonts w:ascii="Aptos" w:hAnsi="Aptos"/>
          <w:b/>
          <w:color w:val="172033"/>
          <w:sz w:val="21"/>
        </w:rPr>
        <w:t xml:space="preserve">Chat interno: </w:t>
      </w:r>
      <w:r>
        <w:rPr>
          <w:rFonts w:ascii="Aptos" w:hAnsi="Aptos"/>
          <w:color w:val="172033"/>
          <w:sz w:val="21"/>
        </w:rPr>
        <w:t>en esta fase piloto no es la fuente central oficial de trazabilidad. Las decisiones y estados importantes deben quedar en los módulos centrales.</w:t>
      </w:r>
    </w:p>
    <w:p>
      <w:pPr>
        <w:pStyle w:val="ListBullet"/>
        <w:spacing w:after="40"/>
      </w:pPr>
      <w:r>
        <w:rPr>
          <w:rFonts w:ascii="Aptos" w:hAnsi="Aptos"/>
          <w:b/>
          <w:color w:val="172033"/>
          <w:sz w:val="21"/>
        </w:rPr>
        <w:t xml:space="preserve">Carga Excel: </w:t>
      </w:r>
      <w:r>
        <w:rPr>
          <w:rFonts w:ascii="Aptos" w:hAnsi="Aptos"/>
          <w:color w:val="172033"/>
          <w:sz w:val="21"/>
        </w:rPr>
        <w:t>se encuentra en etapa piloto; valida los datos antes de usarlos como registro oficial.</w:t>
      </w:r>
    </w:p>
    <w:p>
      <w:pPr>
        <w:pStyle w:val="ListBullet"/>
        <w:spacing w:after="40"/>
      </w:pPr>
      <w:r>
        <w:rPr>
          <w:rFonts w:ascii="Aptos" w:hAnsi="Aptos"/>
          <w:b/>
          <w:color w:val="172033"/>
          <w:sz w:val="21"/>
        </w:rPr>
        <w:t xml:space="preserve">Móvil: </w:t>
      </w:r>
      <w:r>
        <w:rPr>
          <w:rFonts w:ascii="Aptos" w:hAnsi="Aptos"/>
          <w:color w:val="172033"/>
          <w:sz w:val="21"/>
        </w:rPr>
        <w:t>la interfaz funciona, pero la experiencia móvil y el acceso a S.O.F.I.A. continúan en optimización.</w:t>
      </w:r>
    </w:p>
    <w:p>
      <w:pPr>
        <w:pStyle w:val="ListBullet"/>
        <w:spacing w:after="40"/>
      </w:pPr>
      <w:r>
        <w:rPr>
          <w:rFonts w:ascii="Aptos" w:hAnsi="Aptos"/>
          <w:b/>
          <w:color w:val="172033"/>
          <w:sz w:val="21"/>
        </w:rPr>
        <w:t xml:space="preserve">Piloto controlado: </w:t>
      </w:r>
      <w:r>
        <w:rPr>
          <w:rFonts w:ascii="Aptos" w:hAnsi="Aptos"/>
          <w:color w:val="172033"/>
          <w:sz w:val="21"/>
        </w:rPr>
        <w:t>cualquier error, duda o comportamiento inesperado debe reportarse; el objetivo del piloto es aprender antes de ampliar usuarios.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AF7EF"/>
            <w:tcBorders>
              <w:top w:val="single" w:sz="7" w:color="C5D6EA"/>
              <w:left w:val="single" w:sz="7" w:color="C5D6EA"/>
              <w:bottom w:val="single" w:sz="7" w:color="C5D6EA"/>
              <w:right w:val="single" w:sz="7" w:color="C5D6EA"/>
            </w:tcBorders>
          </w:tcPr>
          <w:p>
            <w:r>
              <w:rPr>
                <w:rFonts w:ascii="Aptos" w:hAnsi="Aptos"/>
                <w:b/>
                <w:color w:val="0B2F6B"/>
                <w:sz w:val="20"/>
              </w:rPr>
              <w:t xml:space="preserve">Idea final: </w:t>
            </w:r>
            <w:r>
              <w:rPr>
                <w:rFonts w:ascii="Aptos" w:hAnsi="Aptos"/>
                <w:color w:val="172033"/>
                <w:sz w:val="20"/>
              </w:rPr>
              <w:t>No necesitas aprender todo en el primer día. La mejor manera de aprender PG es operarlo, registrar lo que ocurre y preguntar cuando algo no sea claro.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893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57089"/>
        <w:sz w:val="15"/>
      </w:rPr>
      <w:t>PLAYGROUND MMC 1.0 · v13.5 PILOTO RC4  |  Documento de piloto controlado  |  3 de septiembre de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7920"/>
      <w:gridCol w:w="2160"/>
    </w:tblGrid>
    <w:tr>
      <w:tc>
        <w:tcPr>
          <w:tcW w:type="dxa" w:w="5040"/>
        </w:tcPr>
        <w:p>
          <w:r>
            <w:rPr>
              <w:rFonts w:ascii="Aptos" w:hAnsi="Aptos"/>
              <w:b/>
              <w:color w:val="0B2F6B"/>
              <w:sz w:val="17"/>
            </w:rPr>
            <w:t>Misión Médica Colombia · PLAYGROUND MMC</w:t>
          </w:r>
        </w:p>
      </w:tc>
      <w:tc>
        <w:tcPr>
          <w:tcW w:type="dxa" w:w="5040"/>
        </w:tcPr>
        <w:p>
          <w:pPr>
            <w:jc w:val="right"/>
          </w:pPr>
          <w:r>
            <w:rPr>
              <w:rFonts w:ascii="Aptos" w:hAnsi="Aptos"/>
              <w:color w:val="657089"/>
              <w:sz w:val="16"/>
            </w:rPr>
            <w:t>MR-01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2F6B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" w:hAnsi="Aptos"/>
      <w:b/>
      <w:bCs/>
      <w:color w:val="0B2F6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ptos" w:hAnsi="Aptos"/>
      <w:b/>
      <w:bCs/>
      <w:color w:val="0B2F6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B2F6B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llout">
    <w:name w:val="Callout"/>
    <w:pPr>
      <w:spacing w:before="120" w:after="120"/>
      <w:ind w:left="259" w:right="259"/>
    </w:pPr>
    <w:rPr>
      <w:rFonts w:ascii="Aptos" w:hAnsi="Aptos"/>
      <w:color w:val="0B2F6B"/>
      <w:sz w:val="21"/>
    </w:rPr>
  </w:style>
  <w:style w:type="paragraph" w:customStyle="1" w:styleId="SmallNote">
    <w:name w:val="Small Note"/>
    <w:rPr>
      <w:rFonts w:ascii="Aptos" w:hAnsi="Aptos"/>
      <w:color w:val="657089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