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143000" cy="1143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mc_logo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Aptos" w:hAnsi="Aptos"/>
          <w:b/>
          <w:color w:val="0B2F6B"/>
          <w:sz w:val="46"/>
        </w:rPr>
        <w:t>PLAYGROUND MMC 1.0</w:t>
      </w:r>
    </w:p>
    <w:p>
      <w:pPr>
        <w:jc w:val="center"/>
      </w:pPr>
      <w:r>
        <w:rPr>
          <w:rFonts w:ascii="Aptos" w:hAnsi="Aptos"/>
          <w:b/>
          <w:color w:val="0B2F6B"/>
          <w:sz w:val="44"/>
        </w:rPr>
        <w:t>Manual de Usuario Directivo</w:t>
      </w:r>
    </w:p>
    <w:p>
      <w:pPr>
        <w:jc w:val="center"/>
      </w:pPr>
      <w:r>
        <w:rPr>
          <w:rFonts w:ascii="Aptos" w:hAnsi="Aptos"/>
          <w:b w:val="0"/>
          <w:color w:val="1467C8"/>
          <w:sz w:val="24"/>
        </w:rPr>
        <w:t>Cómo dirigir y supervisar la operación diaria desde PLAYGROUND MMC</w:t>
      </w:r>
    </w:p>
    <w:p>
      <w:pPr>
        <w:jc w:val="center"/>
      </w:pPr>
      <w:r>
        <w:rPr>
          <w:rFonts w:ascii="Aptos" w:hAnsi="Aptos"/>
          <w:b/>
          <w:color w:val="172033"/>
          <w:sz w:val="21"/>
        </w:rPr>
        <w:t>Para Dirección Nacional de Operaciones y Administración Nacional de PG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EEF4FB"/>
            <w:tcBorders>
              <w:top w:val="single" w:sz="8" w:color="BFD1E6"/>
              <w:left w:val="single" w:sz="8" w:color="BFD1E6"/>
              <w:bottom w:val="single" w:sz="8" w:color="BFD1E6"/>
              <w:right w:val="single" w:sz="8" w:color="BFD1E6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F6B"/>
                <w:sz w:val="20"/>
              </w:rPr>
              <w:t>Versión 1.0 · PILOTO</w:t>
            </w:r>
          </w:p>
          <w:p>
            <w:pPr>
              <w:jc w:val="center"/>
            </w:pPr>
            <w:r>
              <w:rPr>
                <w:rFonts w:ascii="Aptos" w:hAnsi="Aptos"/>
                <w:color w:val="657089"/>
                <w:sz w:val="18"/>
              </w:rPr>
              <w:t>3 de septiembre de 2026</w:t>
            </w:r>
          </w:p>
        </w:tc>
      </w:tr>
    </w:tbl>
    <w:p/>
    <w:p>
      <w:pPr>
        <w:jc w:val="center"/>
      </w:pPr>
      <w:r>
        <w:rPr>
          <w:rFonts w:ascii="Aptos" w:hAnsi="Aptos"/>
          <w:color w:val="657089"/>
          <w:sz w:val="18"/>
        </w:rPr>
        <w:t>Misión Médica Colombia · Centro de Articulación</w:t>
      </w:r>
    </w:p>
    <w:p>
      <w:r>
        <w:br w:type="page"/>
      </w:r>
    </w:p>
    <w:p>
      <w:pPr>
        <w:pStyle w:val="Heading1"/>
      </w:pPr>
      <w:r>
        <w:t>Contenido</w:t>
      </w:r>
    </w:p>
    <w:p>
      <w:r>
        <w:rPr>
          <w:rFonts w:ascii="Aptos" w:hAnsi="Aptos"/>
          <w:b/>
          <w:color w:val="0B2F6B"/>
          <w:sz w:val="21"/>
        </w:rPr>
        <w:t>1. Rol del usuario directivo</w:t>
      </w:r>
    </w:p>
    <w:p>
      <w:r>
        <w:rPr>
          <w:rFonts w:ascii="Aptos" w:hAnsi="Aptos"/>
          <w:b/>
          <w:color w:val="0B2F6B"/>
          <w:sz w:val="21"/>
        </w:rPr>
        <w:t>2. Rutina de inicio del día</w:t>
      </w:r>
    </w:p>
    <w:p>
      <w:r>
        <w:rPr>
          <w:rFonts w:ascii="Aptos" w:hAnsi="Aptos"/>
          <w:b/>
          <w:color w:val="0B2F6B"/>
          <w:sz w:val="21"/>
        </w:rPr>
        <w:t>3. Cómo priorizar</w:t>
      </w:r>
    </w:p>
    <w:p>
      <w:r>
        <w:rPr>
          <w:rFonts w:ascii="Aptos" w:hAnsi="Aptos"/>
          <w:b/>
          <w:color w:val="0B2F6B"/>
          <w:sz w:val="21"/>
        </w:rPr>
        <w:t>4. Cómo convertir información en articulaciones</w:t>
      </w:r>
    </w:p>
    <w:p>
      <w:r>
        <w:rPr>
          <w:rFonts w:ascii="Aptos" w:hAnsi="Aptos"/>
          <w:b/>
          <w:color w:val="0B2F6B"/>
          <w:sz w:val="21"/>
        </w:rPr>
        <w:t>5. Responsables y seguimiento</w:t>
      </w:r>
    </w:p>
    <w:p>
      <w:r>
        <w:rPr>
          <w:rFonts w:ascii="Aptos" w:hAnsi="Aptos"/>
          <w:b/>
          <w:color w:val="0B2F6B"/>
          <w:sz w:val="21"/>
        </w:rPr>
        <w:t>6. Cierre y Memoria Institucional</w:t>
      </w:r>
    </w:p>
    <w:p>
      <w:r>
        <w:rPr>
          <w:rFonts w:ascii="Aptos" w:hAnsi="Aptos"/>
          <w:b/>
          <w:color w:val="0B2F6B"/>
          <w:sz w:val="21"/>
        </w:rPr>
        <w:t>7. Uso directivo de S.O.F.I.A.</w:t>
      </w:r>
    </w:p>
    <w:p>
      <w:r>
        <w:rPr>
          <w:rFonts w:ascii="Aptos" w:hAnsi="Aptos"/>
          <w:b/>
          <w:color w:val="0B2F6B"/>
          <w:sz w:val="21"/>
        </w:rPr>
        <w:t>8. Centro de Administración y gobierno de usuarios</w:t>
      </w:r>
    </w:p>
    <w:p>
      <w:r>
        <w:rPr>
          <w:rFonts w:ascii="Aptos" w:hAnsi="Aptos"/>
          <w:b/>
          <w:color w:val="0B2F6B"/>
          <w:sz w:val="21"/>
        </w:rPr>
        <w:t>9. Qué no debe hacer un directivo</w:t>
      </w:r>
    </w:p>
    <w:p>
      <w:r>
        <w:rPr>
          <w:rFonts w:ascii="Aptos" w:hAnsi="Aptos"/>
          <w:b/>
          <w:color w:val="0B2F6B"/>
          <w:sz w:val="21"/>
        </w:rPr>
        <w:t>10. Reunión operativa de 15 minutos</w:t>
      </w:r>
    </w:p>
    <w:p>
      <w:r>
        <w:rPr>
          <w:rFonts w:ascii="Aptos" w:hAnsi="Aptos"/>
          <w:b/>
          <w:color w:val="0B2F6B"/>
          <w:sz w:val="21"/>
        </w:rPr>
        <w:t>11. Checklist diario y semanal</w:t>
      </w:r>
    </w:p>
    <w:p>
      <w:r>
        <w:rPr>
          <w:rFonts w:ascii="Aptos" w:hAnsi="Aptos"/>
          <w:b/>
          <w:color w:val="0B2F6B"/>
          <w:sz w:val="21"/>
        </w:rPr>
        <w:t>12. Limitaciones RC4</w:t>
      </w:r>
    </w:p>
    <w:p/>
    <w:p>
      <w:pPr>
        <w:pStyle w:val="Heading1"/>
      </w:pPr>
      <w:r>
        <w:t>1. Rol del usuario directivo</w:t>
      </w:r>
    </w:p>
    <w:p>
      <w:r>
        <w:t>El usuario directivo no entra a PG solamente para “mirar datos”. Su función es convertir la información del ecosistema en decisiones, responsables y seguimiento.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3360"/>
            <w:shd w:fill="0B2F6B"/>
            <w:vAlign w:val="center"/>
          </w:tcPr>
          <w:p>
            <w:r>
              <w:rPr>
                <w:rFonts w:ascii="Aptos" w:hAnsi="Aptos"/>
                <w:b/>
                <w:color w:val="FFFFFF"/>
                <w:sz w:val="18"/>
              </w:rPr>
              <w:t>Perfil piloto</w:t>
            </w:r>
          </w:p>
        </w:tc>
        <w:tc>
          <w:tcPr>
            <w:tcW w:type="dxa" w:w="3360"/>
            <w:shd w:fill="0B2F6B"/>
            <w:vAlign w:val="center"/>
          </w:tcPr>
          <w:p>
            <w:r>
              <w:rPr>
                <w:rFonts w:ascii="Aptos" w:hAnsi="Aptos"/>
                <w:b/>
                <w:color w:val="FFFFFF"/>
                <w:sz w:val="18"/>
              </w:rPr>
              <w:t>Cargo</w:t>
            </w:r>
          </w:p>
        </w:tc>
        <w:tc>
          <w:tcPr>
            <w:tcW w:type="dxa" w:w="3360"/>
            <w:shd w:fill="0B2F6B"/>
            <w:vAlign w:val="center"/>
          </w:tcPr>
          <w:p>
            <w:r>
              <w:rPr>
                <w:rFonts w:ascii="Aptos" w:hAnsi="Aptos"/>
                <w:b/>
                <w:color w:val="FFFFFF"/>
                <w:sz w:val="18"/>
              </w:rPr>
              <w:t>Alcance técnico</w:t>
            </w:r>
          </w:p>
        </w:tc>
      </w:tr>
      <w:tr>
        <w:tc>
          <w:tcPr>
            <w:tcW w:type="dxa" w:w="3360"/>
            <w:vAlign w:val="center"/>
          </w:tcPr>
          <w:p>
            <w:r>
              <w:rPr>
                <w:rFonts w:ascii="Aptos" w:hAnsi="Aptos"/>
                <w:color w:val="172033"/>
                <w:sz w:val="18"/>
              </w:rPr>
              <w:t>Dra. Katherine Garzón</w:t>
            </w:r>
          </w:p>
        </w:tc>
        <w:tc>
          <w:tcPr>
            <w:tcW w:type="dxa" w:w="3360"/>
            <w:vAlign w:val="center"/>
          </w:tcPr>
          <w:p>
            <w:r>
              <w:rPr>
                <w:rFonts w:ascii="Aptos" w:hAnsi="Aptos"/>
                <w:color w:val="172033"/>
                <w:sz w:val="18"/>
              </w:rPr>
              <w:t>Directora Nacional de Operaciones</w:t>
            </w:r>
          </w:p>
        </w:tc>
        <w:tc>
          <w:tcPr>
            <w:tcW w:type="dxa" w:w="3360"/>
            <w:vAlign w:val="center"/>
          </w:tcPr>
          <w:p>
            <w:r>
              <w:rPr>
                <w:rFonts w:ascii="Aptos" w:hAnsi="Aptos"/>
                <w:color w:val="172033"/>
                <w:sz w:val="18"/>
              </w:rPr>
              <w:t>Administrador operativo · ALL · NO CREADOR</w:t>
            </w:r>
          </w:p>
        </w:tc>
      </w:tr>
      <w:tr>
        <w:tc>
          <w:tcPr>
            <w:tcW w:type="dxa" w:w="3360"/>
            <w:vAlign w:val="center"/>
            <w:shd w:fill="F7F9FC"/>
          </w:tcPr>
          <w:p>
            <w:r>
              <w:rPr>
                <w:rFonts w:ascii="Aptos" w:hAnsi="Aptos"/>
                <w:color w:val="172033"/>
                <w:sz w:val="18"/>
              </w:rPr>
              <w:t>Dra. Diana Rodríguez</w:t>
            </w:r>
          </w:p>
        </w:tc>
        <w:tc>
          <w:tcPr>
            <w:tcW w:type="dxa" w:w="3360"/>
            <w:vAlign w:val="center"/>
            <w:shd w:fill="F7F9FC"/>
          </w:tcPr>
          <w:p>
            <w:r>
              <w:rPr>
                <w:rFonts w:ascii="Aptos" w:hAnsi="Aptos"/>
                <w:color w:val="172033"/>
                <w:sz w:val="18"/>
              </w:rPr>
              <w:t>Administradora Nacional de PG - MMC</w:t>
            </w:r>
          </w:p>
        </w:tc>
        <w:tc>
          <w:tcPr>
            <w:tcW w:type="dxa" w:w="3360"/>
            <w:vAlign w:val="center"/>
            <w:shd w:fill="F7F9FC"/>
          </w:tcPr>
          <w:p>
            <w:r>
              <w:rPr>
                <w:rFonts w:ascii="Aptos" w:hAnsi="Aptos"/>
                <w:color w:val="172033"/>
                <w:sz w:val="18"/>
              </w:rPr>
              <w:t>Administrador operativo · ALL · NO CREADOR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EEF4FB"/>
            <w:tcBorders>
              <w:top w:val="single" w:sz="7" w:color="C5D6EA"/>
              <w:left w:val="single" w:sz="7" w:color="C5D6EA"/>
              <w:bottom w:val="single" w:sz="7" w:color="C5D6EA"/>
              <w:right w:val="single" w:sz="7" w:color="C5D6EA"/>
            </w:tcBorders>
          </w:tcPr>
          <w:p>
            <w:r>
              <w:rPr>
                <w:rFonts w:ascii="Aptos" w:hAnsi="Aptos"/>
                <w:b/>
                <w:color w:val="0B2F6B"/>
                <w:sz w:val="20"/>
              </w:rPr>
              <w:t xml:space="preserve">Gobierno: </w:t>
            </w:r>
            <w:r>
              <w:rPr>
                <w:rFonts w:ascii="Aptos" w:hAnsi="Aptos"/>
                <w:color w:val="172033"/>
                <w:sz w:val="20"/>
              </w:rPr>
              <w:t>El acceso ALL es una capacidad técnica, no una autorización para cambiar cualquier regla del sistema. Las decisiones de arquitectura, propiedad de Bitácora y privilegios de CREADOR permanecen separadas.</w:t>
            </w:r>
          </w:p>
        </w:tc>
      </w:tr>
    </w:tbl>
    <w:p>
      <w:pPr>
        <w:pStyle w:val="Heading1"/>
      </w:pPr>
      <w:r>
        <w:t>2. Rutina de inicio del día</w:t>
      </w:r>
    </w:p>
    <w:p>
      <w:pPr>
        <w:spacing w:after="60"/>
        <w:ind w:left="317" w:hanging="317"/>
      </w:pPr>
      <w:r>
        <w:rPr>
          <w:rFonts w:ascii="Aptos" w:hAnsi="Aptos"/>
          <w:b/>
          <w:color w:val="0B2F6B"/>
          <w:sz w:val="21"/>
        </w:rPr>
        <w:t xml:space="preserve">1. </w:t>
      </w:r>
      <w:r>
        <w:rPr>
          <w:rFonts w:ascii="Aptos" w:hAnsi="Aptos"/>
          <w:color w:val="172033"/>
          <w:sz w:val="21"/>
        </w:rPr>
        <w:t>Abrir el Panel / Resumen inteligente y revisar el estado general.</w:t>
      </w:r>
    </w:p>
    <w:p>
      <w:pPr>
        <w:spacing w:after="60"/>
        <w:ind w:left="317" w:hanging="317"/>
      </w:pPr>
      <w:r>
        <w:rPr>
          <w:rFonts w:ascii="Aptos" w:hAnsi="Aptos"/>
          <w:b/>
          <w:color w:val="0B2F6B"/>
          <w:sz w:val="21"/>
        </w:rPr>
        <w:t xml:space="preserve">2. </w:t>
      </w:r>
      <w:r>
        <w:rPr>
          <w:rFonts w:ascii="Aptos" w:hAnsi="Aptos"/>
          <w:color w:val="172033"/>
          <w:sz w:val="21"/>
        </w:rPr>
        <w:t>Identificar casos críticos, urgentes y sin responsable.</w:t>
      </w:r>
    </w:p>
    <w:p>
      <w:pPr>
        <w:spacing w:after="60"/>
        <w:ind w:left="317" w:hanging="317"/>
      </w:pPr>
      <w:r>
        <w:rPr>
          <w:rFonts w:ascii="Aptos" w:hAnsi="Aptos"/>
          <w:b/>
          <w:color w:val="0B2F6B"/>
          <w:sz w:val="21"/>
        </w:rPr>
        <w:t xml:space="preserve">3. </w:t>
      </w:r>
      <w:r>
        <w:rPr>
          <w:rFonts w:ascii="Aptos" w:hAnsi="Aptos"/>
          <w:color w:val="172033"/>
          <w:sz w:val="21"/>
        </w:rPr>
        <w:t>Revisar ofertas nuevas y posibles cruces.</w:t>
      </w:r>
    </w:p>
    <w:p>
      <w:pPr>
        <w:spacing w:after="60"/>
        <w:ind w:left="317" w:hanging="317"/>
      </w:pPr>
      <w:r>
        <w:rPr>
          <w:rFonts w:ascii="Aptos" w:hAnsi="Aptos"/>
          <w:b/>
          <w:color w:val="0B2F6B"/>
          <w:sz w:val="21"/>
        </w:rPr>
        <w:t xml:space="preserve">4. </w:t>
      </w:r>
      <w:r>
        <w:rPr>
          <w:rFonts w:ascii="Aptos" w:hAnsi="Aptos"/>
          <w:color w:val="172033"/>
          <w:sz w:val="21"/>
        </w:rPr>
        <w:t>Buscar articulaciones detenidas o sin actualización.</w:t>
      </w:r>
    </w:p>
    <w:p>
      <w:pPr>
        <w:spacing w:after="60"/>
        <w:ind w:left="317" w:hanging="317"/>
      </w:pPr>
      <w:r>
        <w:rPr>
          <w:rFonts w:ascii="Aptos" w:hAnsi="Aptos"/>
          <w:b/>
          <w:color w:val="0B2F6B"/>
          <w:sz w:val="21"/>
        </w:rPr>
        <w:t xml:space="preserve">5. </w:t>
      </w:r>
      <w:r>
        <w:rPr>
          <w:rFonts w:ascii="Aptos" w:hAnsi="Aptos"/>
          <w:color w:val="172033"/>
          <w:sz w:val="21"/>
        </w:rPr>
        <w:t>Confirmar responsables y próximos pasos.</w:t>
      </w:r>
    </w:p>
    <w:p>
      <w:pPr>
        <w:spacing w:after="60"/>
        <w:ind w:left="317" w:hanging="317"/>
      </w:pPr>
      <w:r>
        <w:rPr>
          <w:rFonts w:ascii="Aptos" w:hAnsi="Aptos"/>
          <w:b/>
          <w:color w:val="0B2F6B"/>
          <w:sz w:val="21"/>
        </w:rPr>
        <w:t xml:space="preserve">6. </w:t>
      </w:r>
      <w:r>
        <w:rPr>
          <w:rFonts w:ascii="Aptos" w:hAnsi="Aptos"/>
          <w:color w:val="172033"/>
          <w:sz w:val="21"/>
        </w:rPr>
        <w:t>Consultar a S.O.F.I.A. para obtener un resumen, pero validar cualquier decisión en los módulos centrales.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EEF4FB"/>
            <w:tcBorders>
              <w:top w:val="single" w:sz="7" w:color="C5D6EA"/>
              <w:left w:val="single" w:sz="7" w:color="C5D6EA"/>
              <w:bottom w:val="single" w:sz="7" w:color="C5D6EA"/>
              <w:right w:val="single" w:sz="7" w:color="C5D6EA"/>
            </w:tcBorders>
          </w:tcPr>
          <w:p>
            <w:r>
              <w:rPr>
                <w:rFonts w:ascii="Aptos" w:hAnsi="Aptos"/>
                <w:b/>
                <w:color w:val="0B2F6B"/>
                <w:sz w:val="20"/>
              </w:rPr>
              <w:t xml:space="preserve">En 10 minutos: </w:t>
            </w:r>
            <w:r>
              <w:rPr>
                <w:rFonts w:ascii="Aptos" w:hAnsi="Aptos"/>
                <w:color w:val="172033"/>
                <w:sz w:val="20"/>
              </w:rPr>
              <w:t>Objetivo de la primera revisión: terminar con una lista corta de “qué requiere decisión hoy”, no con una lectura infinita de información.</w:t>
            </w:r>
          </w:p>
        </w:tc>
      </w:tr>
    </w:tbl>
    <w:p>
      <w:pPr>
        <w:pStyle w:val="Heading1"/>
      </w:pPr>
      <w:r>
        <w:t>3. Cómo priorizar</w:t>
      </w:r>
    </w:p>
    <w:p>
      <w:r>
        <w:t>Cuando varios casos compiten por atención, el directivo debe ordenar la gestión con criterios explícitos.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shd w:fill="0B2F6B"/>
            <w:vAlign w:val="center"/>
          </w:tcPr>
          <w:p>
            <w:r>
              <w:rPr>
                <w:rFonts w:ascii="Aptos" w:hAnsi="Aptos"/>
                <w:b/>
                <w:color w:val="FFFFFF"/>
                <w:sz w:val="18"/>
              </w:rPr>
              <w:t>Criterio</w:t>
            </w:r>
          </w:p>
        </w:tc>
        <w:tc>
          <w:tcPr>
            <w:tcW w:type="dxa" w:w="5040"/>
            <w:shd w:fill="0B2F6B"/>
            <w:vAlign w:val="center"/>
          </w:tcPr>
          <w:p>
            <w:r>
              <w:rPr>
                <w:rFonts w:ascii="Aptos" w:hAnsi="Aptos"/>
                <w:b/>
                <w:color w:val="FFFFFF"/>
                <w:sz w:val="18"/>
              </w:rPr>
              <w:t>Pregunta de control</w:t>
            </w:r>
          </w:p>
        </w:tc>
      </w:tr>
      <w:tr>
        <w:tc>
          <w:tcPr>
            <w:tcW w:type="dxa" w:w="5040"/>
            <w:vAlign w:val="center"/>
          </w:tcPr>
          <w:p>
            <w:r>
              <w:rPr>
                <w:rFonts w:ascii="Aptos" w:hAnsi="Aptos"/>
                <w:color w:val="172033"/>
                <w:sz w:val="18"/>
              </w:rPr>
              <w:t>Urgencia clínica / humanitaria</w:t>
            </w:r>
          </w:p>
        </w:tc>
        <w:tc>
          <w:tcPr>
            <w:tcW w:type="dxa" w:w="5040"/>
            <w:vAlign w:val="center"/>
          </w:tcPr>
          <w:p>
            <w:r>
              <w:rPr>
                <w:rFonts w:ascii="Aptos" w:hAnsi="Aptos"/>
                <w:color w:val="172033"/>
                <w:sz w:val="18"/>
              </w:rPr>
              <w:t>¿Existe riesgo inmediato si no actuamos?</w:t>
            </w:r>
          </w:p>
        </w:tc>
      </w:tr>
      <w:tr>
        <w:tc>
          <w:tcPr>
            <w:tcW w:type="dxa" w:w="5040"/>
            <w:vAlign w:val="center"/>
            <w:shd w:fill="F7F9FC"/>
          </w:tcPr>
          <w:p>
            <w:r>
              <w:rPr>
                <w:rFonts w:ascii="Aptos" w:hAnsi="Aptos"/>
                <w:color w:val="172033"/>
                <w:sz w:val="18"/>
              </w:rPr>
              <w:t>Disponibilidad de respuesta</w:t>
            </w:r>
          </w:p>
        </w:tc>
        <w:tc>
          <w:tcPr>
            <w:tcW w:type="dxa" w:w="5040"/>
            <w:vAlign w:val="center"/>
            <w:shd w:fill="F7F9FC"/>
          </w:tcPr>
          <w:p>
            <w:r>
              <w:rPr>
                <w:rFonts w:ascii="Aptos" w:hAnsi="Aptos"/>
                <w:color w:val="172033"/>
                <w:sz w:val="18"/>
              </w:rPr>
              <w:t>¿Hay una oferta o capacidad concreta que podamos movilizar?</w:t>
            </w:r>
          </w:p>
        </w:tc>
      </w:tr>
      <w:tr>
        <w:tc>
          <w:tcPr>
            <w:tcW w:type="dxa" w:w="5040"/>
            <w:vAlign w:val="center"/>
          </w:tcPr>
          <w:p>
            <w:r>
              <w:rPr>
                <w:rFonts w:ascii="Aptos" w:hAnsi="Aptos"/>
                <w:color w:val="172033"/>
                <w:sz w:val="18"/>
              </w:rPr>
              <w:t>Impacto</w:t>
            </w:r>
          </w:p>
        </w:tc>
        <w:tc>
          <w:tcPr>
            <w:tcW w:type="dxa" w:w="5040"/>
            <w:vAlign w:val="center"/>
          </w:tcPr>
          <w:p>
            <w:r>
              <w:rPr>
                <w:rFonts w:ascii="Aptos" w:hAnsi="Aptos"/>
                <w:color w:val="172033"/>
                <w:sz w:val="18"/>
              </w:rPr>
              <w:t>¿A cuántas personas, servicios o instituciones afecta?</w:t>
            </w:r>
          </w:p>
        </w:tc>
      </w:tr>
      <w:tr>
        <w:tc>
          <w:tcPr>
            <w:tcW w:type="dxa" w:w="5040"/>
            <w:vAlign w:val="center"/>
            <w:shd w:fill="F7F9FC"/>
          </w:tcPr>
          <w:p>
            <w:r>
              <w:rPr>
                <w:rFonts w:ascii="Aptos" w:hAnsi="Aptos"/>
                <w:color w:val="172033"/>
                <w:sz w:val="18"/>
              </w:rPr>
              <w:t>Tiempo</w:t>
            </w:r>
          </w:p>
        </w:tc>
        <w:tc>
          <w:tcPr>
            <w:tcW w:type="dxa" w:w="5040"/>
            <w:vAlign w:val="center"/>
            <w:shd w:fill="F7F9FC"/>
          </w:tcPr>
          <w:p>
            <w:r>
              <w:rPr>
                <w:rFonts w:ascii="Aptos" w:hAnsi="Aptos"/>
                <w:color w:val="172033"/>
                <w:sz w:val="18"/>
              </w:rPr>
              <w:t>¿Hay una ventana logística, regulatoria o de transporte que se cierra?</w:t>
            </w:r>
          </w:p>
        </w:tc>
      </w:tr>
      <w:tr>
        <w:tc>
          <w:tcPr>
            <w:tcW w:type="dxa" w:w="5040"/>
            <w:vAlign w:val="center"/>
          </w:tcPr>
          <w:p>
            <w:r>
              <w:rPr>
                <w:rFonts w:ascii="Aptos" w:hAnsi="Aptos"/>
                <w:color w:val="172033"/>
                <w:sz w:val="18"/>
              </w:rPr>
              <w:t>Responsable</w:t>
            </w:r>
          </w:p>
        </w:tc>
        <w:tc>
          <w:tcPr>
            <w:tcW w:type="dxa" w:w="5040"/>
            <w:vAlign w:val="center"/>
          </w:tcPr>
          <w:p>
            <w:r>
              <w:rPr>
                <w:rFonts w:ascii="Aptos" w:hAnsi="Aptos"/>
                <w:color w:val="172033"/>
                <w:sz w:val="18"/>
              </w:rPr>
              <w:t>¿Hay alguien claramente asignado para moverlo?</w:t>
            </w:r>
          </w:p>
        </w:tc>
      </w:tr>
      <w:tr>
        <w:tc>
          <w:tcPr>
            <w:tcW w:type="dxa" w:w="5040"/>
            <w:vAlign w:val="center"/>
            <w:shd w:fill="F7F9FC"/>
          </w:tcPr>
          <w:p>
            <w:r>
              <w:rPr>
                <w:rFonts w:ascii="Aptos" w:hAnsi="Aptos"/>
                <w:color w:val="172033"/>
                <w:sz w:val="18"/>
              </w:rPr>
              <w:t>Trazabilidad</w:t>
            </w:r>
          </w:p>
        </w:tc>
        <w:tc>
          <w:tcPr>
            <w:tcW w:type="dxa" w:w="5040"/>
            <w:vAlign w:val="center"/>
            <w:shd w:fill="F7F9FC"/>
          </w:tcPr>
          <w:p>
            <w:r>
              <w:rPr>
                <w:rFonts w:ascii="Aptos" w:hAnsi="Aptos"/>
                <w:color w:val="172033"/>
                <w:sz w:val="18"/>
              </w:rPr>
              <w:t>¿La información mínima está documentada y verificable?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EEF4FB"/>
            <w:tcBorders>
              <w:top w:val="single" w:sz="7" w:color="C5D6EA"/>
              <w:left w:val="single" w:sz="7" w:color="C5D6EA"/>
              <w:bottom w:val="single" w:sz="7" w:color="C5D6EA"/>
              <w:right w:val="single" w:sz="7" w:color="C5D6EA"/>
            </w:tcBorders>
          </w:tcPr>
          <w:p>
            <w:r>
              <w:rPr>
                <w:rFonts w:ascii="Aptos" w:hAnsi="Aptos"/>
                <w:b/>
                <w:color w:val="0B2F6B"/>
                <w:sz w:val="20"/>
              </w:rPr>
              <w:t xml:space="preserve">Principio: </w:t>
            </w:r>
            <w:r>
              <w:rPr>
                <w:rFonts w:ascii="Aptos" w:hAnsi="Aptos"/>
                <w:color w:val="172033"/>
                <w:sz w:val="20"/>
              </w:rPr>
              <w:t>La plataforma ayuda a ordenar; el criterio clínico, humanitario y operativo sigue siendo humano.</w:t>
            </w:r>
          </w:p>
        </w:tc>
      </w:tr>
    </w:tbl>
    <w:p>
      <w:pPr>
        <w:pStyle w:val="Heading1"/>
      </w:pPr>
      <w:r>
        <w:t>4. Cómo convertir información en articulaciones</w:t>
      </w:r>
    </w:p>
    <w:p>
      <w:pPr>
        <w:spacing w:after="60"/>
        <w:ind w:left="317" w:hanging="317"/>
      </w:pPr>
      <w:r>
        <w:rPr>
          <w:rFonts w:ascii="Aptos" w:hAnsi="Aptos"/>
          <w:b/>
          <w:color w:val="0B2F6B"/>
          <w:sz w:val="21"/>
        </w:rPr>
        <w:t xml:space="preserve">1. </w:t>
      </w:r>
      <w:r>
        <w:rPr>
          <w:rFonts w:ascii="Aptos" w:hAnsi="Aptos"/>
          <w:color w:val="172033"/>
          <w:sz w:val="21"/>
        </w:rPr>
        <w:t>Verificar la necesidad: qué se requiere, dónde, para quién, cantidad y urgencia.</w:t>
      </w:r>
    </w:p>
    <w:p>
      <w:pPr>
        <w:spacing w:after="60"/>
        <w:ind w:left="317" w:hanging="317"/>
      </w:pPr>
      <w:r>
        <w:rPr>
          <w:rFonts w:ascii="Aptos" w:hAnsi="Aptos"/>
          <w:b/>
          <w:color w:val="0B2F6B"/>
          <w:sz w:val="21"/>
        </w:rPr>
        <w:t xml:space="preserve">2. </w:t>
      </w:r>
      <w:r>
        <w:rPr>
          <w:rFonts w:ascii="Aptos" w:hAnsi="Aptos"/>
          <w:color w:val="172033"/>
          <w:sz w:val="21"/>
        </w:rPr>
        <w:t>Verificar la oferta: qué existe realmente, cantidad, ubicación, condiciones y disponibilidad.</w:t>
      </w:r>
    </w:p>
    <w:p>
      <w:pPr>
        <w:spacing w:after="60"/>
        <w:ind w:left="317" w:hanging="317"/>
      </w:pPr>
      <w:r>
        <w:rPr>
          <w:rFonts w:ascii="Aptos" w:hAnsi="Aptos"/>
          <w:b/>
          <w:color w:val="0B2F6B"/>
          <w:sz w:val="21"/>
        </w:rPr>
        <w:t xml:space="preserve">3. </w:t>
      </w:r>
      <w:r>
        <w:rPr>
          <w:rFonts w:ascii="Aptos" w:hAnsi="Aptos"/>
          <w:color w:val="172033"/>
          <w:sz w:val="21"/>
        </w:rPr>
        <w:t>Revisar compatibilidad y posibles restricciones.</w:t>
      </w:r>
    </w:p>
    <w:p>
      <w:pPr>
        <w:spacing w:after="60"/>
        <w:ind w:left="317" w:hanging="317"/>
      </w:pPr>
      <w:r>
        <w:rPr>
          <w:rFonts w:ascii="Aptos" w:hAnsi="Aptos"/>
          <w:b/>
          <w:color w:val="0B2F6B"/>
          <w:sz w:val="21"/>
        </w:rPr>
        <w:t xml:space="preserve">4. </w:t>
      </w:r>
      <w:r>
        <w:rPr>
          <w:rFonts w:ascii="Aptos" w:hAnsi="Aptos"/>
          <w:color w:val="172033"/>
          <w:sz w:val="21"/>
        </w:rPr>
        <w:t>Crear o formalizar el cruce Necesidad ↔ Oferta.</w:t>
      </w:r>
    </w:p>
    <w:p>
      <w:pPr>
        <w:spacing w:after="60"/>
        <w:ind w:left="317" w:hanging="317"/>
      </w:pPr>
      <w:r>
        <w:rPr>
          <w:rFonts w:ascii="Aptos" w:hAnsi="Aptos"/>
          <w:b/>
          <w:color w:val="0B2F6B"/>
          <w:sz w:val="21"/>
        </w:rPr>
        <w:t xml:space="preserve">5. </w:t>
      </w:r>
      <w:r>
        <w:rPr>
          <w:rFonts w:ascii="Aptos" w:hAnsi="Aptos"/>
          <w:color w:val="172033"/>
          <w:sz w:val="21"/>
        </w:rPr>
        <w:t>Definir responsable y siguiente acción concreta.</w:t>
      </w:r>
    </w:p>
    <w:p>
      <w:pPr>
        <w:spacing w:after="60"/>
        <w:ind w:left="317" w:hanging="317"/>
      </w:pPr>
      <w:r>
        <w:rPr>
          <w:rFonts w:ascii="Aptos" w:hAnsi="Aptos"/>
          <w:b/>
          <w:color w:val="0B2F6B"/>
          <w:sz w:val="21"/>
        </w:rPr>
        <w:t xml:space="preserve">6. </w:t>
      </w:r>
      <w:r>
        <w:rPr>
          <w:rFonts w:ascii="Aptos" w:hAnsi="Aptos"/>
          <w:color w:val="172033"/>
          <w:sz w:val="21"/>
        </w:rPr>
        <w:t>Actualizar el estado cada vez que cambia la realidad operativa.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FF4E6"/>
            <w:tcBorders>
              <w:top w:val="single" w:sz="7" w:color="C5D6EA"/>
              <w:left w:val="single" w:sz="7" w:color="C5D6EA"/>
              <w:bottom w:val="single" w:sz="7" w:color="C5D6EA"/>
              <w:right w:val="single" w:sz="7" w:color="C5D6EA"/>
            </w:tcBorders>
          </w:tcPr>
          <w:p>
            <w:r>
              <w:rPr>
                <w:rFonts w:ascii="Aptos" w:hAnsi="Aptos"/>
                <w:b/>
                <w:color w:val="0B2F6B"/>
                <w:sz w:val="20"/>
              </w:rPr>
              <w:t xml:space="preserve">Control de calidad: </w:t>
            </w:r>
            <w:r>
              <w:rPr>
                <w:rFonts w:ascii="Aptos" w:hAnsi="Aptos"/>
                <w:color w:val="172033"/>
                <w:sz w:val="20"/>
              </w:rPr>
              <w:t>No formalices un cruce solo porque “parece que sirve”. La articulación debe basarse en necesidad real, oferta verificable y una ruta razonable de ejecución.</w:t>
            </w:r>
          </w:p>
        </w:tc>
      </w:tr>
    </w:tbl>
    <w:p>
      <w:pPr>
        <w:pStyle w:val="Heading1"/>
      </w:pPr>
      <w:r>
        <w:t>5. Responsables y seguimiento</w:t>
      </w:r>
    </w:p>
    <w:p>
      <w:r>
        <w:t>Un caso sin dueño se convierte rápidamente en un pendiente invisible. Toda articulación activa debe tener una persona responsable y una próxima acción.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Responsable: una persona concreta, no “el equipo”.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Próxima acción: qué debe ocurrir y, cuando aplique, fecha o condición.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Estado: debe reflejar la realidad, no una intención.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Evento: registrar avances que cambien la comprensión o el curso de la gestión.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Escalamiento: si el responsable no puede resolver un bloqueo, el directivo decide a quién escalarlo.</w:t>
      </w:r>
    </w:p>
    <w:p>
      <w:pPr>
        <w:pStyle w:val="Heading1"/>
      </w:pPr>
      <w:r>
        <w:t>6. Cierre y Memoria Institucional</w:t>
      </w:r>
    </w:p>
    <w:p>
      <w:r>
        <w:t>Cerrar es una decisión operativa y documental. El cierre correcto evita que PG se convierta en una lista eterna de pendientes y permite que S.O.F.I.A. y el equipo aprendan de lo ocurrido.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shd w:fill="0B2F6B"/>
            <w:vAlign w:val="center"/>
          </w:tcPr>
          <w:p>
            <w:r>
              <w:rPr>
                <w:rFonts w:ascii="Aptos" w:hAnsi="Aptos"/>
                <w:b/>
                <w:color w:val="FFFFFF"/>
                <w:sz w:val="18"/>
              </w:rPr>
              <w:t>Antes de cerrar</w:t>
            </w:r>
          </w:p>
        </w:tc>
        <w:tc>
          <w:tcPr>
            <w:tcW w:type="dxa" w:w="5040"/>
            <w:shd w:fill="0B2F6B"/>
            <w:vAlign w:val="center"/>
          </w:tcPr>
          <w:p>
            <w:r>
              <w:rPr>
                <w:rFonts w:ascii="Aptos" w:hAnsi="Aptos"/>
                <w:b/>
                <w:color w:val="FFFFFF"/>
                <w:sz w:val="18"/>
              </w:rPr>
              <w:t>Debe existir</w:t>
            </w:r>
          </w:p>
        </w:tc>
      </w:tr>
      <w:tr>
        <w:tc>
          <w:tcPr>
            <w:tcW w:type="dxa" w:w="5040"/>
            <w:vAlign w:val="center"/>
          </w:tcPr>
          <w:p>
            <w:r>
              <w:rPr>
                <w:rFonts w:ascii="Aptos" w:hAnsi="Aptos"/>
                <w:color w:val="172033"/>
                <w:sz w:val="18"/>
              </w:rPr>
              <w:t>Resultado</w:t>
            </w:r>
          </w:p>
        </w:tc>
        <w:tc>
          <w:tcPr>
            <w:tcW w:type="dxa" w:w="5040"/>
            <w:vAlign w:val="center"/>
          </w:tcPr>
          <w:p>
            <w:r>
              <w:rPr>
                <w:rFonts w:ascii="Aptos" w:hAnsi="Aptos"/>
                <w:color w:val="172033"/>
                <w:sz w:val="18"/>
              </w:rPr>
              <w:t>Qué ocurrió finalmente.</w:t>
            </w:r>
          </w:p>
        </w:tc>
      </w:tr>
      <w:tr>
        <w:tc>
          <w:tcPr>
            <w:tcW w:type="dxa" w:w="5040"/>
            <w:vAlign w:val="center"/>
            <w:shd w:fill="F7F9FC"/>
          </w:tcPr>
          <w:p>
            <w:r>
              <w:rPr>
                <w:rFonts w:ascii="Aptos" w:hAnsi="Aptos"/>
                <w:color w:val="172033"/>
                <w:sz w:val="18"/>
              </w:rPr>
              <w:t>Observación</w:t>
            </w:r>
          </w:p>
        </w:tc>
        <w:tc>
          <w:tcPr>
            <w:tcW w:type="dxa" w:w="5040"/>
            <w:vAlign w:val="center"/>
            <w:shd w:fill="F7F9FC"/>
          </w:tcPr>
          <w:p>
            <w:r>
              <w:rPr>
                <w:rFonts w:ascii="Aptos" w:hAnsi="Aptos"/>
                <w:color w:val="172033"/>
                <w:sz w:val="18"/>
              </w:rPr>
              <w:t>Contexto útil, dificultades o lecciones.</w:t>
            </w:r>
          </w:p>
        </w:tc>
      </w:tr>
      <w:tr>
        <w:tc>
          <w:tcPr>
            <w:tcW w:type="dxa" w:w="5040"/>
            <w:vAlign w:val="center"/>
          </w:tcPr>
          <w:p>
            <w:r>
              <w:rPr>
                <w:rFonts w:ascii="Aptos" w:hAnsi="Aptos"/>
                <w:color w:val="172033"/>
                <w:sz w:val="18"/>
              </w:rPr>
              <w:t>Estado final</w:t>
            </w:r>
          </w:p>
        </w:tc>
        <w:tc>
          <w:tcPr>
            <w:tcW w:type="dxa" w:w="5040"/>
            <w:vAlign w:val="center"/>
          </w:tcPr>
          <w:p>
            <w:r>
              <w:rPr>
                <w:rFonts w:ascii="Aptos" w:hAnsi="Aptos"/>
                <w:color w:val="172033"/>
                <w:sz w:val="18"/>
              </w:rPr>
              <w:t>Entregado, resuelto, cancelado u otro estado definido.</w:t>
            </w:r>
          </w:p>
        </w:tc>
      </w:tr>
      <w:tr>
        <w:tc>
          <w:tcPr>
            <w:tcW w:type="dxa" w:w="5040"/>
            <w:vAlign w:val="center"/>
            <w:shd w:fill="F7F9FC"/>
          </w:tcPr>
          <w:p>
            <w:r>
              <w:rPr>
                <w:rFonts w:ascii="Aptos" w:hAnsi="Aptos"/>
                <w:color w:val="172033"/>
                <w:sz w:val="18"/>
              </w:rPr>
              <w:t>Usuario / responsable</w:t>
            </w:r>
          </w:p>
        </w:tc>
        <w:tc>
          <w:tcPr>
            <w:tcW w:type="dxa" w:w="5040"/>
            <w:vAlign w:val="center"/>
            <w:shd w:fill="F7F9FC"/>
          </w:tcPr>
          <w:p>
            <w:r>
              <w:rPr>
                <w:rFonts w:ascii="Aptos" w:hAnsi="Aptos"/>
                <w:color w:val="172033"/>
                <w:sz w:val="18"/>
              </w:rPr>
              <w:t>Quién realizó o validó el cierre.</w:t>
            </w:r>
          </w:p>
        </w:tc>
      </w:tr>
      <w:tr>
        <w:tc>
          <w:tcPr>
            <w:tcW w:type="dxa" w:w="5040"/>
            <w:vAlign w:val="center"/>
          </w:tcPr>
          <w:p>
            <w:r>
              <w:rPr>
                <w:rFonts w:ascii="Aptos" w:hAnsi="Aptos"/>
                <w:color w:val="172033"/>
                <w:sz w:val="18"/>
              </w:rPr>
              <w:t>Fecha</w:t>
            </w:r>
          </w:p>
        </w:tc>
        <w:tc>
          <w:tcPr>
            <w:tcW w:type="dxa" w:w="5040"/>
            <w:vAlign w:val="center"/>
          </w:tcPr>
          <w:p>
            <w:r>
              <w:rPr>
                <w:rFonts w:ascii="Aptos" w:hAnsi="Aptos"/>
                <w:color w:val="172033"/>
                <w:sz w:val="18"/>
              </w:rPr>
              <w:t>Cuándo quedó cerrado.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EEF4FB"/>
            <w:tcBorders>
              <w:top w:val="single" w:sz="7" w:color="C5D6EA"/>
              <w:left w:val="single" w:sz="7" w:color="C5D6EA"/>
              <w:bottom w:val="single" w:sz="7" w:color="C5D6EA"/>
              <w:right w:val="single" w:sz="7" w:color="C5D6EA"/>
            </w:tcBorders>
          </w:tcPr>
          <w:p>
            <w:r>
              <w:rPr>
                <w:rFonts w:ascii="Aptos" w:hAnsi="Aptos"/>
                <w:b/>
                <w:color w:val="0B2F6B"/>
                <w:sz w:val="20"/>
              </w:rPr>
              <w:t xml:space="preserve">Regla: </w:t>
            </w:r>
            <w:r>
              <w:rPr>
                <w:rFonts w:ascii="Aptos" w:hAnsi="Aptos"/>
                <w:color w:val="172033"/>
                <w:sz w:val="20"/>
              </w:rPr>
              <w:t>Guardar/archivar conserva la trazabilidad. Eliminar debe ser excepcional y restringido.</w:t>
            </w:r>
          </w:p>
        </w:tc>
      </w:tr>
    </w:tbl>
    <w:p>
      <w:pPr>
        <w:pStyle w:val="Heading1"/>
      </w:pPr>
      <w:r>
        <w:t>7. Uso directivo de S.O.F.I.A.</w:t>
      </w:r>
    </w:p>
    <w:p>
      <w:r>
        <w:t>S.O.F.I.A. es especialmente útil cuando se le pregunta por prioridades, cruces, bloqueos o resúmenes. Un buen directivo la utiliza para reducir el tiempo de lectura y aumentar la calidad de la revisión.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“Dame los casos críticos sin responsable.”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“¿Qué cruces necesidad-oferta tienen mayor posibilidad de avanzar hoy?”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“Resume las articulaciones detenidas y dime por qué están bloqueadas.”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“¿Qué cambió desde la última revisión?”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“Prepara un resumen ejecutivo para la reunión de Dirección.”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FF4E6"/>
            <w:tcBorders>
              <w:top w:val="single" w:sz="7" w:color="C5D6EA"/>
              <w:left w:val="single" w:sz="7" w:color="C5D6EA"/>
              <w:bottom w:val="single" w:sz="7" w:color="C5D6EA"/>
              <w:right w:val="single" w:sz="7" w:color="C5D6EA"/>
            </w:tcBorders>
          </w:tcPr>
          <w:p>
            <w:r>
              <w:rPr>
                <w:rFonts w:ascii="Aptos" w:hAnsi="Aptos"/>
                <w:b/>
                <w:color w:val="0B2F6B"/>
                <w:sz w:val="20"/>
              </w:rPr>
              <w:t xml:space="preserve">RC4: </w:t>
            </w:r>
            <w:r>
              <w:rPr>
                <w:rFonts w:ascii="Aptos" w:hAnsi="Aptos"/>
                <w:color w:val="172033"/>
                <w:sz w:val="20"/>
              </w:rPr>
              <w:t>Si S.O.F.I.A. indica que está en modo local o no puede verificar el Bridge, úsala como apoyo limitado y valida manualmente. No confundas “respuesta de IA” con “dato confirmado”.</w:t>
            </w:r>
          </w:p>
        </w:tc>
      </w:tr>
    </w:tbl>
    <w:p>
      <w:pPr>
        <w:pStyle w:val="Heading1"/>
      </w:pPr>
      <w:r>
        <w:t>8. Centro de Administración y gobierno de usuarios</w:t>
      </w:r>
    </w:p>
    <w:p>
      <w:r>
        <w:t>Katherine y Diana tienen capacidad técnica de administrador operativo. Durante el piloto, esa capacidad debe usarse con disciplina institucional.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Sincronizar usuarios y revisar solicitudes cuando el CREADOR autorice nuevas incorporaciones.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Asignar nombre, rol, estado, microecosistema y permisos conforme a la estructura aprobada.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No conceder privilegios de CREADOR.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No modificar la propiedad de la Bitácora.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No otorgar ALL por comodidad a usuarios que deban tener acceso territorial o por área.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Suspender, rechazar o cambiar acceso únicamente cuando exista una razón operativa clara y trazable.</w:t>
      </w:r>
    </w:p>
    <w:p>
      <w:pPr>
        <w:pStyle w:val="Heading1"/>
      </w:pPr>
      <w:r>
        <w:t>9. Qué no debe hacer un directivo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No usar WhatsApp como único lugar donde quede una decisión operativa importante.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No cerrar casos para “limpiar la pantalla” si la gestión no terminó.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No inventar cantidades, receptores, ofertas o estados para completar campos.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No compartir contraseñas ni credenciales técnicas.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No modificar reglas estructurales del sistema sin coordinación con el CREADOR.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No convertir ALL en “todos pueden hacer todo”. PG debe crecer por permisos y responsabilidades.</w:t>
      </w:r>
    </w:p>
    <w:p>
      <w:pPr>
        <w:pStyle w:val="Heading1"/>
      </w:pPr>
      <w:r>
        <w:t>10. Reunión operativa de 15 minutos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shd w:fill="0B2F6B"/>
            <w:vAlign w:val="center"/>
          </w:tcPr>
          <w:p>
            <w:r>
              <w:rPr>
                <w:rFonts w:ascii="Aptos" w:hAnsi="Aptos"/>
                <w:b/>
                <w:color w:val="FFFFFF"/>
                <w:sz w:val="18"/>
              </w:rPr>
              <w:t>Minutos</w:t>
            </w:r>
          </w:p>
        </w:tc>
        <w:tc>
          <w:tcPr>
            <w:tcW w:type="dxa" w:w="5040"/>
            <w:shd w:fill="0B2F6B"/>
            <w:vAlign w:val="center"/>
          </w:tcPr>
          <w:p>
            <w:r>
              <w:rPr>
                <w:rFonts w:ascii="Aptos" w:hAnsi="Aptos"/>
                <w:b/>
                <w:color w:val="FFFFFF"/>
                <w:sz w:val="18"/>
              </w:rPr>
              <w:t>Pregunta</w:t>
            </w:r>
          </w:p>
        </w:tc>
      </w:tr>
      <w:tr>
        <w:tc>
          <w:tcPr>
            <w:tcW w:type="dxa" w:w="5040"/>
            <w:vAlign w:val="center"/>
          </w:tcPr>
          <w:p>
            <w:r>
              <w:rPr>
                <w:rFonts w:ascii="Aptos" w:hAnsi="Aptos"/>
                <w:color w:val="172033"/>
                <w:sz w:val="18"/>
              </w:rPr>
              <w:t>0-3</w:t>
            </w:r>
          </w:p>
        </w:tc>
        <w:tc>
          <w:tcPr>
            <w:tcW w:type="dxa" w:w="5040"/>
            <w:vAlign w:val="center"/>
          </w:tcPr>
          <w:p>
            <w:r>
              <w:rPr>
                <w:rFonts w:ascii="Aptos" w:hAnsi="Aptos"/>
                <w:color w:val="172033"/>
                <w:sz w:val="18"/>
              </w:rPr>
              <w:t>¿Qué es crítico o urgente hoy?</w:t>
            </w:r>
          </w:p>
        </w:tc>
      </w:tr>
      <w:tr>
        <w:tc>
          <w:tcPr>
            <w:tcW w:type="dxa" w:w="5040"/>
            <w:vAlign w:val="center"/>
            <w:shd w:fill="F7F9FC"/>
          </w:tcPr>
          <w:p>
            <w:r>
              <w:rPr>
                <w:rFonts w:ascii="Aptos" w:hAnsi="Aptos"/>
                <w:color w:val="172033"/>
                <w:sz w:val="18"/>
              </w:rPr>
              <w:t>3-6</w:t>
            </w:r>
          </w:p>
        </w:tc>
        <w:tc>
          <w:tcPr>
            <w:tcW w:type="dxa" w:w="5040"/>
            <w:vAlign w:val="center"/>
            <w:shd w:fill="F7F9FC"/>
          </w:tcPr>
          <w:p>
            <w:r>
              <w:rPr>
                <w:rFonts w:ascii="Aptos" w:hAnsi="Aptos"/>
                <w:color w:val="172033"/>
                <w:sz w:val="18"/>
              </w:rPr>
              <w:t>¿Qué casos no tienen responsable o están bloqueados?</w:t>
            </w:r>
          </w:p>
        </w:tc>
      </w:tr>
      <w:tr>
        <w:tc>
          <w:tcPr>
            <w:tcW w:type="dxa" w:w="5040"/>
            <w:vAlign w:val="center"/>
          </w:tcPr>
          <w:p>
            <w:r>
              <w:rPr>
                <w:rFonts w:ascii="Aptos" w:hAnsi="Aptos"/>
                <w:color w:val="172033"/>
                <w:sz w:val="18"/>
              </w:rPr>
              <w:t>6-9</w:t>
            </w:r>
          </w:p>
        </w:tc>
        <w:tc>
          <w:tcPr>
            <w:tcW w:type="dxa" w:w="5040"/>
            <w:vAlign w:val="center"/>
          </w:tcPr>
          <w:p>
            <w:r>
              <w:rPr>
                <w:rFonts w:ascii="Aptos" w:hAnsi="Aptos"/>
                <w:color w:val="172033"/>
                <w:sz w:val="18"/>
              </w:rPr>
              <w:t>¿Qué cruces pueden convertirse en articulaciones reales?</w:t>
            </w:r>
          </w:p>
        </w:tc>
      </w:tr>
      <w:tr>
        <w:tc>
          <w:tcPr>
            <w:tcW w:type="dxa" w:w="5040"/>
            <w:vAlign w:val="center"/>
            <w:shd w:fill="F7F9FC"/>
          </w:tcPr>
          <w:p>
            <w:r>
              <w:rPr>
                <w:rFonts w:ascii="Aptos" w:hAnsi="Aptos"/>
                <w:color w:val="172033"/>
                <w:sz w:val="18"/>
              </w:rPr>
              <w:t>9-12</w:t>
            </w:r>
          </w:p>
        </w:tc>
        <w:tc>
          <w:tcPr>
            <w:tcW w:type="dxa" w:w="5040"/>
            <w:vAlign w:val="center"/>
            <w:shd w:fill="F7F9FC"/>
          </w:tcPr>
          <w:p>
            <w:r>
              <w:rPr>
                <w:rFonts w:ascii="Aptos" w:hAnsi="Aptos"/>
                <w:color w:val="172033"/>
                <w:sz w:val="18"/>
              </w:rPr>
              <w:t>¿Qué entregas / cierres deben verificarse?</w:t>
            </w:r>
          </w:p>
        </w:tc>
      </w:tr>
      <w:tr>
        <w:tc>
          <w:tcPr>
            <w:tcW w:type="dxa" w:w="5040"/>
            <w:vAlign w:val="center"/>
          </w:tcPr>
          <w:p>
            <w:r>
              <w:rPr>
                <w:rFonts w:ascii="Aptos" w:hAnsi="Aptos"/>
                <w:color w:val="172033"/>
                <w:sz w:val="18"/>
              </w:rPr>
              <w:t>12-15</w:t>
            </w:r>
          </w:p>
        </w:tc>
        <w:tc>
          <w:tcPr>
            <w:tcW w:type="dxa" w:w="5040"/>
            <w:vAlign w:val="center"/>
          </w:tcPr>
          <w:p>
            <w:r>
              <w:rPr>
                <w:rFonts w:ascii="Aptos" w:hAnsi="Aptos"/>
                <w:color w:val="172033"/>
                <w:sz w:val="18"/>
              </w:rPr>
              <w:t>¿Qué decisión necesita Dirección y qué queda para seguimiento?</w:t>
            </w:r>
          </w:p>
        </w:tc>
      </w:tr>
    </w:tbl>
    <w:p/>
    <w:p>
      <w:pPr>
        <w:pStyle w:val="Heading1"/>
      </w:pPr>
      <w:r>
        <w:t>11. Checklist diario y semanal</w:t>
      </w:r>
    </w:p>
    <w:p>
      <w:pPr>
        <w:pStyle w:val="Heading2"/>
      </w:pPr>
      <w:r>
        <w:t>Checklist diario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Casos críticos revisados.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Ninguna urgencia sin responsable.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Ofertas nuevas revisadas.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Articulaciones detenidas identificadas.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Estados actualizados.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Cierres validados.</w:t>
      </w:r>
    </w:p>
    <w:p>
      <w:pPr>
        <w:pStyle w:val="Heading2"/>
      </w:pPr>
      <w:r>
        <w:t>Checklist semanal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Revisar casos envejecidos o sin movimiento.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Detectar duplicidades.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Revisar usuarios y permisos activos.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Revisar calidad de cierres y memoria.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Preparar un resumen de aprendizajes y mejoras del PG.</w:t>
      </w:r>
    </w:p>
    <w:p>
      <w:pPr>
        <w:pStyle w:val="Heading1"/>
      </w:pPr>
      <w:r>
        <w:t>12. Limitaciones RC4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S.O.F.I.A. avanzada aún depende de la disponibilidad del Bridge de IA.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El chat interno no debe considerarse fuente central de trazabilidad.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La experiencia móvil continúa en optimización.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La carga Excel y algunas funciones siguen en modo piloto y requieren validación humana.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El piloto inicial se ejecuta con un grupo pequeño para detectar fallos antes de ampliar la red.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EAF7EF"/>
            <w:tcBorders>
              <w:top w:val="single" w:sz="7" w:color="C5D6EA"/>
              <w:left w:val="single" w:sz="7" w:color="C5D6EA"/>
              <w:bottom w:val="single" w:sz="7" w:color="C5D6EA"/>
              <w:right w:val="single" w:sz="7" w:color="C5D6EA"/>
            </w:tcBorders>
          </w:tcPr>
          <w:p>
            <w:r>
              <w:rPr>
                <w:rFonts w:ascii="Aptos" w:hAnsi="Aptos"/>
                <w:b/>
                <w:color w:val="0B2F6B"/>
                <w:sz w:val="20"/>
              </w:rPr>
              <w:t xml:space="preserve">Mentalidad piloto: </w:t>
            </w:r>
            <w:r>
              <w:rPr>
                <w:rFonts w:ascii="Aptos" w:hAnsi="Aptos"/>
                <w:color w:val="172033"/>
                <w:sz w:val="20"/>
              </w:rPr>
              <w:t>El éxito del piloto no se mide por “que nadie encuentre errores”. Se mide por detectar problemas reales, documentarlos y convertirlos en mejoras antes de escalar.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36" w:right="1080" w:bottom="893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657089"/>
        <w:sz w:val="15"/>
      </w:rPr>
      <w:t>PLAYGROUND MMC 1.0 · v13.5 PILOTO RC4  |  Documento de piloto controlado  |  3 de septiembre de 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ayout w:type="fixed"/>
      <w:tblLook w:firstColumn="1" w:firstRow="1" w:lastColumn="0" w:lastRow="0" w:noHBand="0" w:noVBand="1" w:val="04A0"/>
    </w:tblPr>
    <w:tblGrid>
      <w:gridCol w:w="7920"/>
      <w:gridCol w:w="2160"/>
    </w:tblGrid>
    <w:tr>
      <w:tc>
        <w:tcPr>
          <w:tcW w:type="dxa" w:w="5040"/>
        </w:tcPr>
        <w:p>
          <w:r>
            <w:rPr>
              <w:rFonts w:ascii="Aptos" w:hAnsi="Aptos"/>
              <w:b/>
              <w:color w:val="0B2F6B"/>
              <w:sz w:val="17"/>
            </w:rPr>
            <w:t>Misión Médica Colombia · PLAYGROUND MMC</w:t>
          </w:r>
        </w:p>
      </w:tc>
      <w:tc>
        <w:tcPr>
          <w:tcW w:type="dxa" w:w="5040"/>
        </w:tcPr>
        <w:p>
          <w:pPr>
            <w:jc w:val="right"/>
          </w:pPr>
          <w:r>
            <w:rPr>
              <w:rFonts w:ascii="Aptos" w:hAnsi="Aptos"/>
              <w:color w:val="657089"/>
              <w:sz w:val="16"/>
            </w:rPr>
            <w:t>MD-01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B2F6B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ptos" w:hAnsi="Aptos"/>
      <w:b/>
      <w:bCs/>
      <w:color w:val="0B2F6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Aptos" w:hAnsi="Aptos"/>
      <w:b/>
      <w:bCs/>
      <w:color w:val="0B2F6B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0"/>
      <w:contextualSpacing/>
    </w:pPr>
    <w:rPr>
      <w:rFonts w:asciiTheme="majorHAnsi" w:eastAsiaTheme="majorEastAsia" w:hAnsiTheme="majorHAnsi" w:cstheme="majorBidi" w:ascii="Aptos Display" w:hAnsi="Aptos Display"/>
      <w:b/>
      <w:color w:val="0B2F6B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allout">
    <w:name w:val="Callout"/>
    <w:pPr>
      <w:spacing w:before="120" w:after="120"/>
      <w:ind w:left="259" w:right="259"/>
    </w:pPr>
    <w:rPr>
      <w:rFonts w:ascii="Aptos" w:hAnsi="Aptos"/>
      <w:color w:val="0B2F6B"/>
      <w:sz w:val="21"/>
    </w:rPr>
  </w:style>
  <w:style w:type="paragraph" w:customStyle="1" w:styleId="SmallNote">
    <w:name w:val="Small Note"/>
    <w:rPr>
      <w:rFonts w:ascii="Aptos" w:hAnsi="Aptos"/>
      <w:color w:val="657089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